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 w:cs="Arial"/>
          <w:bCs/>
          <w:color w:val="000000"/>
          <w:kern w:val="36"/>
          <w:sz w:val="32"/>
          <w:szCs w:val="36"/>
        </w:rPr>
        <w:t>附件3：</w:t>
      </w:r>
    </w:p>
    <w:p>
      <w:pPr>
        <w:jc w:val="center"/>
        <w:rPr>
          <w:rFonts w:ascii="仿宋_GB2312" w:hAnsi="黑体" w:eastAsia="仿宋_GB2312"/>
          <w:sz w:val="36"/>
          <w:szCs w:val="28"/>
        </w:rPr>
      </w:pPr>
      <w:r>
        <w:rPr>
          <w:rFonts w:hint="eastAsia" w:ascii="仿宋_GB2312" w:hAnsi="黑体" w:eastAsia="仿宋_GB2312"/>
          <w:sz w:val="36"/>
          <w:szCs w:val="28"/>
        </w:rPr>
        <w:t>中国航空航天工具协会2016年年会暨四届二次理事会</w:t>
      </w:r>
      <w:bookmarkStart w:id="0" w:name="_GoBack"/>
      <w:bookmarkEnd w:id="0"/>
      <w:r>
        <w:rPr>
          <w:rFonts w:hint="eastAsia" w:ascii="仿宋_GB2312" w:hAnsi="黑体" w:eastAsia="仿宋_GB2312"/>
          <w:sz w:val="36"/>
          <w:szCs w:val="28"/>
        </w:rPr>
        <w:t>参会代表报名表</w:t>
      </w:r>
    </w:p>
    <w:tbl>
      <w:tblPr>
        <w:tblStyle w:val="4"/>
        <w:tblpPr w:leftFromText="180" w:rightFromText="180" w:vertAnchor="text" w:horzAnchor="margin" w:tblpXSpec="center" w:tblpY="423"/>
        <w:tblW w:w="1049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9"/>
        <w:gridCol w:w="3374"/>
        <w:gridCol w:w="382"/>
        <w:gridCol w:w="850"/>
        <w:gridCol w:w="1276"/>
        <w:gridCol w:w="1559"/>
        <w:gridCol w:w="13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姓名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性别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民族</w:t>
            </w:r>
          </w:p>
        </w:tc>
        <w:tc>
          <w:tcPr>
            <w:tcW w:w="13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单位</w:t>
            </w:r>
          </w:p>
        </w:tc>
        <w:tc>
          <w:tcPr>
            <w:tcW w:w="375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部门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职称/职务</w:t>
            </w:r>
          </w:p>
        </w:tc>
        <w:tc>
          <w:tcPr>
            <w:tcW w:w="13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地址</w:t>
            </w:r>
          </w:p>
        </w:tc>
        <w:tc>
          <w:tcPr>
            <w:tcW w:w="588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邮编</w:t>
            </w:r>
          </w:p>
        </w:tc>
        <w:tc>
          <w:tcPr>
            <w:tcW w:w="13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电话</w:t>
            </w:r>
          </w:p>
        </w:tc>
        <w:tc>
          <w:tcPr>
            <w:tcW w:w="337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传真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手机</w:t>
            </w:r>
          </w:p>
        </w:tc>
        <w:tc>
          <w:tcPr>
            <w:tcW w:w="337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电子邮箱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合住</w:t>
            </w:r>
          </w:p>
        </w:tc>
        <w:tc>
          <w:tcPr>
            <w:tcW w:w="337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单间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返程票预订</w:t>
            </w:r>
          </w:p>
        </w:tc>
        <w:tc>
          <w:tcPr>
            <w:tcW w:w="8754" w:type="dxa"/>
            <w:gridSpan w:val="6"/>
            <w:vAlign w:val="center"/>
          </w:tcPr>
          <w:p>
            <w:pPr>
              <w:spacing w:line="360" w:lineRule="exact"/>
              <w:jc w:val="both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>日期：         说明：</w:t>
            </w:r>
          </w:p>
        </w:tc>
      </w:tr>
    </w:tbl>
    <w:p>
      <w:pPr>
        <w:spacing w:line="360" w:lineRule="exact"/>
        <w:jc w:val="center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center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center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both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center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center"/>
        <w:rPr>
          <w:rFonts w:ascii="仿宋_GB2312" w:hAnsi="黑体" w:eastAsia="仿宋_GB2312"/>
          <w:sz w:val="36"/>
          <w:szCs w:val="28"/>
        </w:rPr>
      </w:pPr>
      <w:r>
        <w:rPr>
          <w:rFonts w:hint="eastAsia" w:ascii="仿宋_GB2312" w:hAnsi="黑体" w:eastAsia="仿宋_GB2312"/>
          <w:sz w:val="36"/>
          <w:szCs w:val="28"/>
        </w:rPr>
        <w:t>增值税普通发票信息表</w:t>
      </w:r>
    </w:p>
    <w:p>
      <w:pPr>
        <w:spacing w:line="360" w:lineRule="exact"/>
        <w:jc w:val="center"/>
        <w:rPr>
          <w:rFonts w:ascii="仿宋_GB2312" w:hAnsi="黑体" w:eastAsia="仿宋_GB2312"/>
          <w:sz w:val="36"/>
          <w:szCs w:val="28"/>
        </w:rPr>
      </w:pPr>
    </w:p>
    <w:tbl>
      <w:tblPr>
        <w:tblStyle w:val="3"/>
        <w:tblW w:w="9258" w:type="dxa"/>
        <w:jc w:val="center"/>
        <w:tblInd w:w="0" w:type="dxa"/>
        <w:tblBorders>
          <w:top w:val="thinThickSmallGap" w:color="auto" w:sz="18" w:space="0"/>
          <w:left w:val="single" w:color="000000" w:sz="4" w:space="0"/>
          <w:bottom w:val="thinThickSmallGap" w:color="auto" w:sz="18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thinThickSmallGap" w:color="auto" w:sz="18" w:space="0"/>
            <w:left w:val="single" w:color="000000" w:sz="4" w:space="0"/>
            <w:bottom w:val="thinThickSmallGap" w:color="auto" w:sz="18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58" w:type="dxa"/>
            <w:tcBorders>
              <w:top w:val="thinThickSmallGap" w:color="auto" w:sz="18" w:space="0"/>
            </w:tcBorders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 xml:space="preserve">单位名称：                                                                  </w:t>
            </w:r>
          </w:p>
        </w:tc>
      </w:tr>
    </w:tbl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注：联系人 +86-138-1185-6211（谷羽）</w:t>
      </w: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1、房间价格328元/间天；</w:t>
      </w: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2、中航工协为小规模纳税人，根据国家税务部门要求，只能开具增值税普通发票，请周知；</w:t>
      </w: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3、请务必于2016年10月14日前将此回执发送至电子邮箱（</w:t>
      </w:r>
      <w:r>
        <w:fldChar w:fldCharType="begin"/>
      </w:r>
      <w:r>
        <w:instrText xml:space="preserve"> HYPERLINK "mailto:cata2015@sina.com" </w:instrText>
      </w:r>
      <w:r>
        <w:fldChar w:fldCharType="separate"/>
      </w:r>
      <w:r>
        <w:rPr>
          <w:rFonts w:hint="eastAsia" w:ascii="仿宋_GB2312" w:hAnsi="仿宋" w:eastAsia="仿宋_GB2312"/>
          <w:sz w:val="28"/>
          <w:szCs w:val="24"/>
        </w:rPr>
        <w:t>cata2015@sina.com</w:t>
      </w:r>
      <w:r>
        <w:rPr>
          <w:rFonts w:hint="eastAsia" w:ascii="仿宋_GB2312" w:hAnsi="仿宋" w:eastAsia="仿宋_GB2312"/>
          <w:sz w:val="28"/>
          <w:szCs w:val="24"/>
        </w:rPr>
        <w:fldChar w:fldCharType="end"/>
      </w:r>
      <w:r>
        <w:rPr>
          <w:rFonts w:hint="eastAsia" w:ascii="仿宋_GB2312" w:hAnsi="仿宋" w:eastAsia="仿宋_GB2312"/>
          <w:sz w:val="28"/>
          <w:szCs w:val="24"/>
        </w:rPr>
        <w:t>）。</w:t>
      </w: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4、请参会人员务必携带身份证，便于办理入所手续。</w:t>
      </w:r>
    </w:p>
    <w:p>
      <w:pPr>
        <w:spacing w:line="360" w:lineRule="exact"/>
        <w:jc w:val="left"/>
        <w:rPr>
          <w:rFonts w:ascii="仿宋_GB2312" w:hAnsi="黑体" w:eastAsia="仿宋_GB2312"/>
          <w:sz w:val="36"/>
          <w:szCs w:val="28"/>
        </w:rPr>
      </w:pPr>
      <w:r>
        <w:rPr>
          <w:rFonts w:hint="eastAsia" w:ascii="仿宋_GB2312" w:hAnsi="仿宋" w:eastAsia="仿宋_GB2312"/>
          <w:sz w:val="28"/>
          <w:szCs w:val="24"/>
        </w:rPr>
        <w:t>5、由于中国航空综合技术研究所为涉密单位，会议期间严禁携带笔记本电脑进入会场。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26673"/>
    <w:rsid w:val="111266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2016-09-23T01:14:00Z</dcterms:created>
  <dc:creator>cape</dc:creator>
  <cp:lastModifiedBy>cape</cp:lastModifiedBy>
  <dcterms:modified xsi:type="dcterms:W3CDTF">2016-09-23T01:15:25Z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